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tabs>
          <w:tab w:val="left" w:pos="312"/>
        </w:tabs>
        <w:spacing w:line="59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海南省民族宗教事务委员会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公平竞争审查基本流程</w:t>
      </w:r>
    </w:p>
    <w:p>
      <w:pPr>
        <w:tabs>
          <w:tab w:val="left" w:pos="312"/>
        </w:tabs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2084" o:spid="_x0000_s2084" o:spt="2" style="position:absolute;left:0pt;margin-left:370.75pt;margin-top:14.55pt;height:57.95pt;width:74.65pt;z-index:25173299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可以依程序出台实施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2"/>
          <w:szCs w:val="32"/>
        </w:rPr>
        <w:pict>
          <v:roundrect id="_x0000_s2054" o:spid="_x0000_s2054" o:spt="2" style="position:absolute;left:0pt;margin-left:200.7pt;margin-top:12.5pt;height:64.25pt;width:132.25pt;z-index:251664384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不需要公平竞争审查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  <w:lang w:eastAsia="zh-CN"/>
                    </w:rPr>
                    <w:t>须</w:t>
                  </w:r>
                  <w:r>
                    <w:t>在起草说明</w:t>
                  </w:r>
                  <w:r>
                    <w:rPr>
                      <w:rFonts w:hint="eastAsia"/>
                      <w:lang w:eastAsia="zh-CN"/>
                    </w:rPr>
                    <w:t>（或发文呈批单等</w:t>
                  </w:r>
                  <w:r>
                    <w:t>中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  <w:r>
                    <w:t>予以载明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2"/>
          <w:szCs w:val="32"/>
        </w:rPr>
        <w:pict>
          <v:shape id="_x0000_s2050" o:spid="_x0000_s2050" o:spt="4" type="#_x0000_t4" style="position:absolute;left:0pt;margin-left:7.5pt;margin-top:5.85pt;height:70.5pt;width:159.8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是否涉及市场</w:t>
                  </w:r>
                </w:p>
                <w:p>
                  <w:pPr>
                    <w:jc w:val="center"/>
                  </w:pPr>
                  <w:r>
                    <w:t>主体经济活动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67" o:spid="_x0000_s2067" o:spt="202" type="#_x0000_t202" style="position:absolute;left:0pt;margin-left:169.4pt;margin-top:14.9pt;height:23.7pt;width:28.05pt;z-index:251677696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t>否</w:t>
                  </w:r>
                </w:p>
              </w:txbxContent>
            </v:textbox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62" o:spid="_x0000_s2062" o:spt="32" type="#_x0000_t32" style="position:absolute;left:0pt;margin-left:166.5pt;margin-top:9.9pt;height:1.15pt;width:34.5pt;z-index:2516725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89" o:spid="_x0000_s2089" o:spt="32" type="#_x0000_t32" style="position:absolute;left:0pt;flip:y;margin-left:309.45pt;margin-top:7.25pt;height:50.25pt;width:60.75pt;z-index:2520535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90" o:spid="_x0000_s2090" o:spt="202" type="#_x0000_t202" style="position:absolute;left:0pt;margin-left:338.15pt;margin-top:27.2pt;height:40.4pt;width:116.5pt;z-index:251659264;mso-width-relative:margin;mso-height-relative:margin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不违反任何一项标准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或不需要审查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87" o:spid="_x0000_s2087" o:spt="32" type="#_x0000_t32" style="position:absolute;left:0pt;margin-left:266.7pt;margin-top:15.5pt;height:41.65pt;width:1.4pt;z-index:25184460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70" o:spid="_x0000_s2070" o:spt="202" type="#_x0000_t202" style="position:absolute;left:0pt;margin-left:47.35pt;margin-top:24.4pt;height:23.7pt;width:28.05pt;z-index:251680768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t>是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59" o:spid="_x0000_s2059" o:spt="32" type="#_x0000_t32" style="position:absolute;left:0pt;margin-left:87.4pt;margin-top:13.95pt;height:52.35pt;width:2.6pt;z-index:2516695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68" o:spid="_x0000_s2068" o:spt="202" type="#_x0000_t202" style="position:absolute;left:0pt;margin-left:160.4pt;margin-top:7.25pt;height:40.4pt;width:67.8pt;z-index:251657216;mso-width-relative:margin;mso-height-relative:margin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不违反任何</w:t>
                  </w:r>
                </w:p>
                <w:p>
                  <w:pPr>
                    <w:jc w:val="center"/>
                  </w:pPr>
                  <w:r>
                    <w:t>一项标准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pict>
          <v:roundrect id="_x0000_s2055" o:spid="_x0000_s2055" o:spt="2" style="position:absolute;left:0pt;margin-left:224.7pt;margin-top:27.45pt;height:73.35pt;width:87.55pt;z-index:251665408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政策法规监督处复审</w:t>
                  </w:r>
                </w:p>
              </w:txbxContent>
            </v:textbox>
          </v:roundrect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86" o:spid="_x0000_s2086" o:spt="202" type="#_x0000_t202" style="position:absolute;left:0pt;margin-left:349.1pt;margin-top:21.6pt;height:128.05pt;width:132.45pt;z-index:251658240;mso-width-relative:margin;mso-height-relative:margin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书宋_GBK" w:hAnsi="方正书宋_GBK" w:eastAsia="方正书宋_GBK" w:cs="方正书宋_GBK"/>
                      <w:sz w:val="21"/>
                      <w:szCs w:val="21"/>
                    </w:rPr>
                  </w:pPr>
                  <w:r>
                    <w:rPr>
                      <w:rFonts w:hint="eastAsia" w:ascii="方正书宋_GBK" w:hAnsi="方正书宋_GBK" w:eastAsia="方正书宋_GBK" w:cs="方正书宋_GBK"/>
                      <w:color w:val="auto"/>
                      <w:kern w:val="2"/>
                      <w:sz w:val="21"/>
                      <w:szCs w:val="21"/>
                      <w:highlight w:val="none"/>
                      <w:lang w:val="en-US" w:eastAsia="zh-CN" w:bidi="ar"/>
                    </w:rPr>
                    <w:t>提请省政府审议的政府规章草案</w:t>
                  </w:r>
                  <w:r>
                    <w:rPr>
                      <w:rFonts w:hint="eastAsia" w:ascii="方正书宋_GBK" w:hAnsi="方正书宋_GBK" w:eastAsia="方正书宋_GBK" w:cs="方正书宋_GBK"/>
                      <w:color w:val="auto"/>
                      <w:kern w:val="2"/>
                      <w:sz w:val="21"/>
                      <w:szCs w:val="21"/>
                      <w:highlight w:val="none"/>
                      <w:lang w:val="en" w:eastAsia="zh-CN" w:bidi="ar"/>
                    </w:rPr>
                    <w:t>，</w:t>
                  </w:r>
                  <w:r>
                    <w:rPr>
                      <w:rFonts w:hint="eastAsia" w:ascii="方正书宋_GBK" w:hAnsi="方正书宋_GBK" w:eastAsia="方正书宋_GBK" w:cs="方正书宋_GBK"/>
                      <w:color w:val="auto"/>
                      <w:kern w:val="2"/>
                      <w:sz w:val="21"/>
                      <w:szCs w:val="21"/>
                      <w:highlight w:val="none"/>
                      <w:lang w:val="en-US" w:eastAsia="zh-CN" w:bidi="ar"/>
                    </w:rPr>
                    <w:t>以省政府、省政府办公厅名义出台的政策文件</w:t>
                  </w:r>
                  <w:r>
                    <w:rPr>
                      <w:rFonts w:hint="eastAsia" w:ascii="方正书宋_GBK" w:hAnsi="方正书宋_GBK" w:eastAsia="方正书宋_GBK" w:cs="方正书宋_GBK"/>
                      <w:color w:val="auto"/>
                      <w:kern w:val="2"/>
                      <w:sz w:val="21"/>
                      <w:szCs w:val="21"/>
                      <w:highlight w:val="none"/>
                      <w:lang w:val="en" w:eastAsia="zh-CN" w:bidi="ar"/>
                    </w:rPr>
                    <w:t>，</w:t>
                  </w:r>
                  <w:r>
                    <w:rPr>
                      <w:rFonts w:hint="eastAsia" w:ascii="方正书宋_GBK" w:hAnsi="方正书宋_GBK" w:eastAsia="方正书宋_GBK" w:cs="方正书宋_GBK"/>
                      <w:color w:val="auto"/>
                      <w:kern w:val="2"/>
                      <w:sz w:val="21"/>
                      <w:szCs w:val="21"/>
                      <w:highlight w:val="none"/>
                      <w:lang w:val="en-US" w:eastAsia="zh-CN" w:bidi="ar"/>
                    </w:rPr>
                    <w:t>报请省政府同意后以部门名义印发的政策文件，提请省人大审议的地方性法规草案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63" o:spid="_x0000_s2063" o:spt="32" type="#_x0000_t32" style="position:absolute;left:0pt;margin-left:169.2pt;margin-top:19.1pt;height:0pt;width:55.5pt;z-index:2516736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60" o:spid="_x0000_s2060" o:spt="32" type="#_x0000_t32" style="position:absolute;left:0pt;flip:x;margin-left:89.7pt;margin-top:29.8pt;height:45.7pt;width:0.3pt;z-index:25167052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76" o:spid="_x0000_s2076" o:spt="32" type="#_x0000_t32" style="position:absolute;left:0pt;margin-left:-1pt;margin-top:15.3pt;height:305.6pt;width:2.55pt;z-index:2516869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roundrect id="_x0000_s2051" o:spid="_x0000_s2051" o:spt="2" style="position:absolute;left:0pt;margin-left:13.9pt;margin-top:3.9pt;height:25.9pt;width:152.2pt;z-index:25166131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对照</w:t>
                  </w:r>
                  <w:r>
                    <w:rPr>
                      <w:rFonts w:hint="eastAsia"/>
                    </w:rPr>
                    <w:t>18条标准逐条进行审查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2"/>
          <w:szCs w:val="32"/>
        </w:rPr>
        <w:pict>
          <v:shape id="_x0000_s2075" o:spid="_x0000_s2075" o:spt="32" type="#_x0000_t32" style="position:absolute;left:0pt;margin-left:-1.55pt;margin-top:16.45pt;height:0.4pt;width:15.45pt;z-index:25168588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83" o:spid="_x0000_s2083" o:spt="32" type="#_x0000_t32" style="position:absolute;left:0pt;margin-left:295.45pt;margin-top:23.95pt;height:88.45pt;width:68.75pt;z-index:2517248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81" o:spid="_x0000_s2081" o:spt="32" type="#_x0000_t32" style="position:absolute;left:0pt;flip:x y;margin-left:266.7pt;margin-top:29.9pt;height:139.8pt;width:1.5pt;z-index:2517073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69" o:spid="_x0000_s2069" o:spt="202" type="#_x0000_t202" style="position:absolute;left:0pt;margin-left:25.85pt;margin-top:6.4pt;height:37.2pt;width:60.3pt;z-index:25167974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违反任何</w:t>
                  </w:r>
                </w:p>
                <w:p>
                  <w:pPr>
                    <w:jc w:val="center"/>
                  </w:pPr>
                  <w:r>
                    <w:t>一项标准</w:t>
                  </w:r>
                </w:p>
              </w:txbxContent>
            </v:textbox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2052" o:spid="_x0000_s2052" o:spt="2" style="position:absolute;left:0pt;margin-left:16.5pt;margin-top:14.35pt;height:39.05pt;width:149.75pt;z-index:25166233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详细说明违反哪一</w:t>
                  </w:r>
                </w:p>
                <w:p>
                  <w:pPr>
                    <w:jc w:val="center"/>
                  </w:pPr>
                  <w:r>
                    <w:t>项标准及对市场竞争的影响</w:t>
                  </w:r>
                </w:p>
              </w:txbxContent>
            </v:textbox>
          </v:roundrect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61" o:spid="_x0000_s2061" o:spt="32" type="#_x0000_t32" style="position:absolute;left:0pt;margin-left:91.15pt;margin-top:22.95pt;height:41.2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2085" o:spid="_x0000_s2085" o:spt="2" style="position:absolute;left:0pt;margin-left:370.65pt;margin-top:20.15pt;height:50pt;width:98.55pt;z-index:251808768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须征求省市场监督管理局意见</w:t>
                  </w:r>
                </w:p>
              </w:txbxContent>
            </v:textbox>
          </v:roundrect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78" o:spid="_x0000_s2078" o:spt="4" type="#_x0000_t4" style="position:absolute;left:0pt;margin-left:20.75pt;margin-top:0.85pt;height:70.5pt;width:141.7pt;z-index:2516910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是否</w:t>
                  </w:r>
                  <w:r>
                    <w:rPr>
                      <w:rFonts w:hint="eastAsia"/>
                    </w:rPr>
                    <w:t>符合</w:t>
                  </w:r>
                  <w:r>
                    <w:t>例外规定</w:t>
                  </w:r>
                </w:p>
              </w:txbxContent>
            </v:textbox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2056" o:spid="_x0000_s2056" o:spt="2" style="position:absolute;left:0pt;margin-left:175.4pt;margin-top:13.7pt;height:94.85pt;width:185.6pt;z-index:25166643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</w:rPr>
                    <w:t>在书面审查结论中对符合适用例外规定的情形和条件进行详细说明，</w:t>
                  </w:r>
                  <w:r>
                    <w:rPr>
                      <w:rFonts w:hint="eastAsia"/>
                      <w:lang w:eastAsia="zh-CN"/>
                    </w:rPr>
                    <w:t>出台前实施第三方评估，出台后逐年评估实施效果。</w:t>
                  </w:r>
                </w:p>
              </w:txbxContent>
            </v:textbox>
          </v:roundrect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73" o:spid="_x0000_s2073" o:spt="202" type="#_x0000_t202" style="position:absolute;left:0pt;margin-left:56.95pt;margin-top:23pt;height:23.7pt;width:28.05pt;z-index:251683840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t>否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74" o:spid="_x0000_s2074" o:spt="202" type="#_x0000_t202" style="position:absolute;left:0pt;margin-left:119.8pt;margin-top:4.15pt;height:23.7pt;width:28.05pt;z-index:2516848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t>是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64" o:spid="_x0000_s2064" o:spt="32" type="#_x0000_t32" style="position:absolute;left:0pt;flip:y;margin-left:91.55pt;margin-top:30.65pt;height:0.65pt;width:82.5pt;z-index:25167462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66" o:spid="_x0000_s2066" o:spt="32" type="#_x0000_t32" style="position:absolute;left:0pt;flip:x y;margin-left:91.15pt;margin-top:8.9pt;height:48.65pt;width:1.05pt;z-index:25167667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71" o:spid="_x0000_s2071" o:spt="32" type="#_x0000_t32" style="position:absolute;left:0pt;flip:x;margin-left:52.25pt;margin-top:27.6pt;height:30.95pt;width:0.55pt;z-index:2516817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72" o:spid="_x0000_s2072" o:spt="32" type="#_x0000_t32" style="position:absolute;left:0pt;flip:x;margin-left:132pt;margin-top:26.35pt;height:31.55pt;width:0.8pt;z-index:25168281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65" o:spid="_x0000_s2065" o:spt="32" type="#_x0000_t32" style="position:absolute;left:0pt;flip:x;margin-left:53.4pt;margin-top:26.95pt;height:1.2pt;width:80.05pt;z-index:25167564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_x0000_s2057" o:spid="_x0000_s2057" o:spt="2" style="position:absolute;left:0pt;margin-left:16.65pt;margin-top:27.35pt;height:24.85pt;width:69.6pt;z-index:25166745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进行调整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2"/>
          <w:szCs w:val="32"/>
        </w:rPr>
        <w:pict>
          <v:roundrect id="_x0000_s2058" o:spid="_x0000_s2058" o:spt="2" style="position:absolute;left:0pt;margin-left:97.85pt;margin-top:26.7pt;height:25.4pt;width:67.85pt;z-index:25166848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不得出台</w:t>
                  </w:r>
                </w:p>
              </w:txbxContent>
            </v:textbox>
          </v:roundrect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77" o:spid="_x0000_s2077" o:spt="32" type="#_x0000_t32" style="position:absolute;left:0pt;flip:y;margin-left:1.55pt;margin-top:8.6pt;height:0.35pt;width:15.1pt;z-index:2516879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161954"/>
    </w:sdt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161958"/>
    </w:sdtPr>
    <w:sdtContent>
      <w:p>
        <w:pPr>
          <w:pStyle w:val="3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10 -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184F"/>
    <w:rsid w:val="001E734A"/>
    <w:rsid w:val="005A73A7"/>
    <w:rsid w:val="007F363F"/>
    <w:rsid w:val="00A96083"/>
    <w:rsid w:val="00DF705E"/>
    <w:rsid w:val="00E3184F"/>
    <w:rsid w:val="00FC4F67"/>
    <w:rsid w:val="0CF7C0DF"/>
    <w:rsid w:val="273EB505"/>
    <w:rsid w:val="2FCF6CBB"/>
    <w:rsid w:val="3FF9C09A"/>
    <w:rsid w:val="536F297E"/>
    <w:rsid w:val="64FD706A"/>
    <w:rsid w:val="6B6FC5D2"/>
    <w:rsid w:val="777F45E7"/>
    <w:rsid w:val="7CFE0B4E"/>
    <w:rsid w:val="7FBBB5A8"/>
    <w:rsid w:val="B78DD843"/>
    <w:rsid w:val="BA7B23C6"/>
    <w:rsid w:val="BFFEA439"/>
    <w:rsid w:val="C7794F72"/>
    <w:rsid w:val="DFFF7828"/>
    <w:rsid w:val="E57FA6EE"/>
    <w:rsid w:val="F7BEE951"/>
    <w:rsid w:val="FE734873"/>
    <w:rsid w:val="FF7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9">
          <o:proxy start="" idref="#_x0000_s2050" connectloc="2"/>
          <o:proxy end="" idref="#_x0000_s2051" connectloc="0"/>
        </o:r>
        <o:r id="V:Rule2" type="connector" idref="#_x0000_s2060">
          <o:proxy start="" idref="#_x0000_s2051" connectloc="2"/>
        </o:r>
        <o:r id="V:Rule3" type="connector" idref="#_x0000_s2061"/>
        <o:r id="V:Rule4" type="connector" idref="#_x0000_s2062"/>
        <o:r id="V:Rule5" type="connector" idref="#_x0000_s2063"/>
        <o:r id="V:Rule6" type="connector" idref="#_x0000_s2064"/>
        <o:r id="V:Rule7" type="connector" idref="#_x0000_s2065"/>
        <o:r id="V:Rule8" type="connector" idref="#_x0000_s2066"/>
        <o:r id="V:Rule9" type="connector" idref="#_x0000_s2071"/>
        <o:r id="V:Rule10" type="connector" idref="#_x0000_s2072"/>
        <o:r id="V:Rule11" type="connector" idref="#_x0000_s2075">
          <o:proxy end="" idref="#_x0000_s2051" connectloc="1"/>
        </o:r>
        <o:r id="V:Rule12" type="connector" idref="#_x0000_s2076"/>
        <o:r id="V:Rule13" type="connector" idref="#_x0000_s2077"/>
        <o:r id="V:Rule14" type="connector" idref="#_x0000_s2081">
          <o:proxy start="" idref="#_x0000_s2056" connectloc="0"/>
        </o:r>
        <o:r id="V:Rule15" type="connector" idref="#_x0000_s2083"/>
        <o:r id="V:Rule16" type="connector" idref="#_x0000_s2087"/>
        <o:r id="V:Rule17" type="connector" idref="#_x0000_s208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4"/>
    <customShpInfo spid="_x0000_s2054"/>
    <customShpInfo spid="_x0000_s2050"/>
    <customShpInfo spid="_x0000_s2067"/>
    <customShpInfo spid="_x0000_s2062"/>
    <customShpInfo spid="_x0000_s2089"/>
    <customShpInfo spid="_x0000_s2090"/>
    <customShpInfo spid="_x0000_s2087"/>
    <customShpInfo spid="_x0000_s2070"/>
    <customShpInfo spid="_x0000_s2059"/>
    <customShpInfo spid="_x0000_s2068"/>
    <customShpInfo spid="_x0000_s2055"/>
    <customShpInfo spid="_x0000_s2086"/>
    <customShpInfo spid="_x0000_s2063"/>
    <customShpInfo spid="_x0000_s2060"/>
    <customShpInfo spid="_x0000_s2076"/>
    <customShpInfo spid="_x0000_s2051"/>
    <customShpInfo spid="_x0000_s2075"/>
    <customShpInfo spid="_x0000_s2083"/>
    <customShpInfo spid="_x0000_s2081"/>
    <customShpInfo spid="_x0000_s2069"/>
    <customShpInfo spid="_x0000_s2052"/>
    <customShpInfo spid="_x0000_s2061"/>
    <customShpInfo spid="_x0000_s2085"/>
    <customShpInfo spid="_x0000_s2078"/>
    <customShpInfo spid="_x0000_s2056"/>
    <customShpInfo spid="_x0000_s2073"/>
    <customShpInfo spid="_x0000_s2074"/>
    <customShpInfo spid="_x0000_s2064"/>
    <customShpInfo spid="_x0000_s2066"/>
    <customShpInfo spid="_x0000_s2071"/>
    <customShpInfo spid="_x0000_s2072"/>
    <customShpInfo spid="_x0000_s2065"/>
    <customShpInfo spid="_x0000_s2057"/>
    <customShpInfo spid="_x0000_s205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2020-04-18T20:59:00Z</dcterms:created>
  <dc:creator>Lenovo</dc:creator>
  <cp:lastModifiedBy>user</cp:lastModifiedBy>
  <cp:lastPrinted>2022-05-20T03:35:00Z</cp:lastPrinted>
  <dcterms:modified xsi:type="dcterms:W3CDTF">2022-06-16T09:26:52Z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